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3F2852">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6F06BF" w:rsidP="00AF4961">
                  <w:pPr>
                    <w:spacing w:after="100" w:line="240" w:lineRule="auto"/>
                    <w:jc w:val="center"/>
                    <w:rPr>
                      <w:rFonts w:ascii="Trebuchet MS" w:hAnsi="Trebuchet MS"/>
                      <w:b/>
                      <w:bCs/>
                      <w:color w:val="002060"/>
                      <w:sz w:val="56"/>
                      <w:szCs w:val="56"/>
                    </w:rPr>
                  </w:pPr>
                  <w:r w:rsidRPr="004805FD">
                    <w:rPr>
                      <w:rFonts w:ascii="Trebuchet MS" w:hAnsi="Trebuchet MS"/>
                      <w:b/>
                      <w:bCs/>
                      <w:color w:val="002060"/>
                      <w:sz w:val="56"/>
                      <w:szCs w:val="56"/>
                    </w:rPr>
                    <w:t>Course Title</w:t>
                  </w:r>
                </w:p>
                <w:p w:rsidR="006F06BF" w:rsidRPr="004805FD" w:rsidRDefault="006F06BF" w:rsidP="00AF4961">
                  <w:pPr>
                    <w:pStyle w:val="ListParagraph"/>
                    <w:numPr>
                      <w:ilvl w:val="0"/>
                      <w:numId w:val="1"/>
                    </w:numPr>
                    <w:spacing w:after="100" w:line="240" w:lineRule="auto"/>
                    <w:jc w:val="right"/>
                    <w:rPr>
                      <w:rFonts w:ascii="Trebuchet MS" w:hAnsi="Trebuchet MS"/>
                      <w:i/>
                      <w:iCs/>
                      <w:color w:val="002060"/>
                      <w:sz w:val="24"/>
                      <w:szCs w:val="24"/>
                    </w:rPr>
                  </w:pPr>
                  <w:r w:rsidRPr="004805FD">
                    <w:rPr>
                      <w:rFonts w:ascii="Trebuchet MS" w:hAnsi="Trebuchet MS"/>
                      <w:i/>
                      <w:iCs/>
                      <w:color w:val="002060"/>
                      <w:sz w:val="36"/>
                      <w:szCs w:val="36"/>
                    </w:rPr>
                    <w:t>Subtitle here</w:t>
                  </w:r>
                </w:p>
                <w:p w:rsidR="006F06BF" w:rsidRPr="009E05A8" w:rsidRDefault="006F06BF" w:rsidP="00AF4961">
                  <w:pPr>
                    <w:pStyle w:val="ListParagraph"/>
                    <w:numPr>
                      <w:ilvl w:val="0"/>
                      <w:numId w:val="1"/>
                    </w:numPr>
                    <w:spacing w:after="100" w:line="240" w:lineRule="auto"/>
                    <w:jc w:val="right"/>
                    <w:rPr>
                      <w:rFonts w:ascii="Cambria" w:hAnsi="Cambria"/>
                      <w:i/>
                      <w:iCs/>
                      <w:color w:val="002060"/>
                      <w:sz w:val="24"/>
                      <w:szCs w:val="24"/>
                    </w:rPr>
                  </w:pPr>
                  <w:r w:rsidRPr="009E05A8">
                    <w:rPr>
                      <w:rFonts w:ascii="Cambria" w:hAnsi="Cambria"/>
                      <w:i/>
                      <w:iCs/>
                      <w:color w:val="002060"/>
                      <w:sz w:val="24"/>
                      <w:szCs w:val="24"/>
                    </w:rPr>
                    <w:t>Author Name</w:t>
                  </w:r>
                </w:p>
              </w:txbxContent>
            </v:textbox>
            <w10:wrap type="topAndBottom"/>
          </v:shape>
        </w:pict>
      </w:r>
      <w:r w:rsidR="003F2852" w:rsidRPr="003F2852">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8849FC" w:rsidRPr="001D2018" w:rsidRDefault="008849FC" w:rsidP="008849FC">
      <w:pPr>
        <w:rPr>
          <w:sz w:val="24"/>
          <w:szCs w:val="24"/>
          <w:u w:val="single"/>
        </w:rPr>
      </w:pPr>
      <w:r w:rsidRPr="001D2018">
        <w:rPr>
          <w:sz w:val="24"/>
          <w:szCs w:val="24"/>
          <w:u w:val="single"/>
        </w:rPr>
        <w:t>Physical Properties of Soil:</w:t>
      </w:r>
    </w:p>
    <w:p w:rsidR="008849FC" w:rsidRDefault="008849FC" w:rsidP="008849FC">
      <w:pPr>
        <w:pStyle w:val="ListParagraph"/>
        <w:spacing w:after="0" w:line="240" w:lineRule="auto"/>
        <w:ind w:left="0" w:firstLine="360"/>
        <w:jc w:val="both"/>
        <w:rPr>
          <w:sz w:val="24"/>
          <w:szCs w:val="24"/>
        </w:rPr>
      </w:pPr>
      <w:r>
        <w:rPr>
          <w:sz w:val="24"/>
          <w:szCs w:val="24"/>
        </w:rPr>
        <w:t>Physical property of soil is referred to physical appearance of soil (colour, texture, structure etc) of particular area/ land. Physical properties of soil are analyzed in soil testing laboratory by using different methods.</w:t>
      </w:r>
    </w:p>
    <w:p w:rsidR="008849FC" w:rsidRDefault="008849FC" w:rsidP="008849FC">
      <w:pPr>
        <w:ind w:firstLine="360"/>
        <w:jc w:val="both"/>
        <w:rPr>
          <w:sz w:val="24"/>
          <w:szCs w:val="24"/>
        </w:rPr>
      </w:pPr>
      <w:r w:rsidRPr="001D2018">
        <w:rPr>
          <w:sz w:val="24"/>
          <w:szCs w:val="24"/>
        </w:rPr>
        <w:t>Physical properties (mechanical behaviour) of a soil greatly influence its use and behaviour towards plant growth. The plant support, root penetration, drainage, aeration, retention of moisture, and plant nutrients are linked with the physical condition of the soil. Physical properties also influence the chemical and biological behaviour of soil. The physical properties of a soil depend on the amount, size, shape, arrangement and mineral composition of its particles.</w:t>
      </w:r>
    </w:p>
    <w:p w:rsidR="008849FC" w:rsidRPr="00112A22" w:rsidRDefault="008849FC" w:rsidP="008849FC">
      <w:pPr>
        <w:ind w:firstLine="360"/>
        <w:jc w:val="both"/>
        <w:rPr>
          <w:b/>
          <w:bCs/>
        </w:rPr>
      </w:pPr>
      <w:r w:rsidRPr="001D2018">
        <w:rPr>
          <w:sz w:val="24"/>
          <w:szCs w:val="24"/>
        </w:rPr>
        <w:t xml:space="preserve"> These properties also depend on organic matter content and </w:t>
      </w:r>
      <w:proofErr w:type="gramStart"/>
      <w:r w:rsidRPr="001D2018">
        <w:rPr>
          <w:sz w:val="24"/>
          <w:szCs w:val="24"/>
        </w:rPr>
        <w:t>pore</w:t>
      </w:r>
      <w:proofErr w:type="gramEnd"/>
      <w:r w:rsidRPr="001D2018">
        <w:rPr>
          <w:sz w:val="24"/>
          <w:szCs w:val="24"/>
        </w:rPr>
        <w:t xml:space="preserve"> spaces.</w:t>
      </w:r>
      <w:r w:rsidRPr="001D2018">
        <w:rPr>
          <w:sz w:val="24"/>
          <w:szCs w:val="24"/>
        </w:rPr>
        <w:br/>
      </w:r>
      <w:r w:rsidRPr="00112A22">
        <w:t> </w:t>
      </w:r>
      <w:r w:rsidRPr="00112A22">
        <w:rPr>
          <w:rStyle w:val="style3"/>
          <w:rFonts w:asciiTheme="minorHAnsi" w:hAnsiTheme="minorHAnsi" w:cstheme="minorHAnsi"/>
          <w:b/>
          <w:bCs/>
          <w:sz w:val="24"/>
          <w:szCs w:val="24"/>
        </w:rPr>
        <w:t>Important physical properties of soils</w:t>
      </w:r>
      <w:r>
        <w:rPr>
          <w:rStyle w:val="style3"/>
          <w:rFonts w:asciiTheme="minorHAnsi" w:hAnsiTheme="minorHAnsi" w:cstheme="minorHAnsi"/>
          <w:b/>
          <w:bCs/>
        </w:rPr>
        <w:t xml:space="preserve"> are as enlisted under:</w:t>
      </w:r>
    </w:p>
    <w:p w:rsidR="008849FC" w:rsidRPr="001D2018" w:rsidRDefault="008849FC" w:rsidP="008849FC">
      <w:pPr>
        <w:pStyle w:val="ListParagraph"/>
        <w:numPr>
          <w:ilvl w:val="0"/>
          <w:numId w:val="5"/>
        </w:numPr>
      </w:pPr>
      <w:r w:rsidRPr="001D2018">
        <w:t>Soil texture</w:t>
      </w:r>
    </w:p>
    <w:p w:rsidR="008849FC" w:rsidRPr="001D2018" w:rsidRDefault="008849FC" w:rsidP="008849FC">
      <w:pPr>
        <w:pStyle w:val="ListParagraph"/>
        <w:numPr>
          <w:ilvl w:val="0"/>
          <w:numId w:val="5"/>
        </w:numPr>
      </w:pPr>
      <w:r w:rsidRPr="001D2018">
        <w:t>Soil structure</w:t>
      </w:r>
    </w:p>
    <w:p w:rsidR="008849FC" w:rsidRPr="001D2018" w:rsidRDefault="008849FC" w:rsidP="008849FC">
      <w:pPr>
        <w:pStyle w:val="ListParagraph"/>
        <w:numPr>
          <w:ilvl w:val="0"/>
          <w:numId w:val="5"/>
        </w:numPr>
      </w:pPr>
      <w:r w:rsidRPr="001D2018">
        <w:t>Surface area</w:t>
      </w:r>
    </w:p>
    <w:p w:rsidR="008849FC" w:rsidRPr="001D2018" w:rsidRDefault="008849FC" w:rsidP="008849FC">
      <w:pPr>
        <w:pStyle w:val="ListParagraph"/>
        <w:numPr>
          <w:ilvl w:val="0"/>
          <w:numId w:val="5"/>
        </w:numPr>
      </w:pPr>
      <w:r w:rsidRPr="001D2018">
        <w:t>Soil density</w:t>
      </w:r>
    </w:p>
    <w:p w:rsidR="008849FC" w:rsidRPr="001D2018" w:rsidRDefault="008849FC" w:rsidP="008849FC">
      <w:pPr>
        <w:pStyle w:val="ListParagraph"/>
        <w:numPr>
          <w:ilvl w:val="0"/>
          <w:numId w:val="5"/>
        </w:numPr>
      </w:pPr>
      <w:r w:rsidRPr="001D2018">
        <w:t>Soil porosity</w:t>
      </w:r>
    </w:p>
    <w:p w:rsidR="008849FC" w:rsidRPr="001D2018" w:rsidRDefault="008849FC" w:rsidP="008849FC">
      <w:pPr>
        <w:pStyle w:val="ListParagraph"/>
        <w:numPr>
          <w:ilvl w:val="0"/>
          <w:numId w:val="5"/>
        </w:numPr>
      </w:pPr>
      <w:r w:rsidRPr="001D2018">
        <w:t>Soil colour</w:t>
      </w:r>
    </w:p>
    <w:p w:rsidR="008849FC" w:rsidRPr="001D2018" w:rsidRDefault="008849FC" w:rsidP="008849FC">
      <w:pPr>
        <w:pStyle w:val="ListParagraph"/>
        <w:numPr>
          <w:ilvl w:val="0"/>
          <w:numId w:val="5"/>
        </w:numPr>
      </w:pPr>
      <w:r w:rsidRPr="001D2018">
        <w:t>Soil consistence</w:t>
      </w:r>
    </w:p>
    <w:p w:rsidR="008849FC" w:rsidRDefault="008849FC" w:rsidP="008849FC">
      <w:hyperlink r:id="rId9" w:history="1">
        <w:r w:rsidRPr="005E3CBA">
          <w:rPr>
            <w:rStyle w:val="Hyperlink"/>
          </w:rPr>
          <w:t>F:\pal v\VOS\agriculture and animal husbandry\soil\Physical properties of soil.pptx</w:t>
        </w:r>
      </w:hyperlink>
    </w:p>
    <w:p w:rsidR="00D1526D" w:rsidRPr="00AE7940" w:rsidRDefault="00D1526D" w:rsidP="00BB6E1F">
      <w:pPr>
        <w:spacing w:after="80" w:line="240" w:lineRule="auto"/>
        <w:ind w:firstLine="397"/>
        <w:contextualSpacing/>
        <w:rPr>
          <w:sz w:val="24"/>
          <w:szCs w:val="24"/>
        </w:rPr>
      </w:pPr>
    </w:p>
    <w:sectPr w:rsidR="00D1526D" w:rsidRPr="00AE7940" w:rsidSect="006A47F2">
      <w:headerReference w:type="even" r:id="rId10"/>
      <w:headerReference w:type="default" r:id="rId11"/>
      <w:footerReference w:type="even" r:id="rId12"/>
      <w:footerReference w:type="default" r:id="rId13"/>
      <w:headerReference w:type="first" r:id="rId14"/>
      <w:footerReference w:type="first" r:id="rId15"/>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15" w:rsidRDefault="00903415" w:rsidP="00C708E2">
      <w:pPr>
        <w:spacing w:after="0" w:line="240" w:lineRule="auto"/>
      </w:pPr>
      <w:r>
        <w:separator/>
      </w:r>
    </w:p>
  </w:endnote>
  <w:endnote w:type="continuationSeparator" w:id="0">
    <w:p w:rsidR="00903415" w:rsidRDefault="00903415"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3F2852">
    <w:pPr>
      <w:pStyle w:val="Footer"/>
    </w:pPr>
    <w:r w:rsidRPr="003F2852">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3F2852">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3F2852">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8849FC">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3F2852">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3F2852">
      <w:rPr>
        <w:noProof/>
        <w:lang w:eastAsia="en-IN"/>
      </w:rPr>
      <w:pict>
        <v:rect id="_x0000_s2058" style="position:absolute;margin-left:-63.65pt;margin-top:30.1pt;width:601.65pt;height:12.4pt;z-index:251661312" fillcolor="#00b0f0" stroked="f"/>
      </w:pict>
    </w:r>
    <w:r w:rsidRPr="003F2852">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15" w:rsidRDefault="00903415" w:rsidP="00C708E2">
      <w:pPr>
        <w:spacing w:after="0" w:line="240" w:lineRule="auto"/>
      </w:pPr>
      <w:r>
        <w:separator/>
      </w:r>
    </w:p>
  </w:footnote>
  <w:footnote w:type="continuationSeparator" w:id="0">
    <w:p w:rsidR="00903415" w:rsidRDefault="00903415"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3F2852" w:rsidP="00BB6E1F">
    <w:pPr>
      <w:pStyle w:val="Header"/>
    </w:pPr>
    <w:r w:rsidRPr="003F2852">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B13662"/>
    <w:multiLevelType w:val="hybridMultilevel"/>
    <w:tmpl w:val="103E5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4">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150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B6083"/>
    <w:rsid w:val="000C3CF2"/>
    <w:rsid w:val="000D4F27"/>
    <w:rsid w:val="00130E7B"/>
    <w:rsid w:val="00134AFB"/>
    <w:rsid w:val="00134D6D"/>
    <w:rsid w:val="00165461"/>
    <w:rsid w:val="00201378"/>
    <w:rsid w:val="00217965"/>
    <w:rsid w:val="002239C0"/>
    <w:rsid w:val="00236A1D"/>
    <w:rsid w:val="002672A4"/>
    <w:rsid w:val="002A4ED3"/>
    <w:rsid w:val="002D18D9"/>
    <w:rsid w:val="002E1943"/>
    <w:rsid w:val="002E2368"/>
    <w:rsid w:val="002E7012"/>
    <w:rsid w:val="00330BAF"/>
    <w:rsid w:val="003404A9"/>
    <w:rsid w:val="003F2852"/>
    <w:rsid w:val="00450645"/>
    <w:rsid w:val="004805FD"/>
    <w:rsid w:val="004A0C98"/>
    <w:rsid w:val="0053487B"/>
    <w:rsid w:val="005440B5"/>
    <w:rsid w:val="005C5BC4"/>
    <w:rsid w:val="005E7C69"/>
    <w:rsid w:val="00612850"/>
    <w:rsid w:val="006376E8"/>
    <w:rsid w:val="0069619A"/>
    <w:rsid w:val="006A47F2"/>
    <w:rsid w:val="006F06BF"/>
    <w:rsid w:val="007A0439"/>
    <w:rsid w:val="007B6A28"/>
    <w:rsid w:val="007D2CB5"/>
    <w:rsid w:val="007D5579"/>
    <w:rsid w:val="008376B2"/>
    <w:rsid w:val="0085715B"/>
    <w:rsid w:val="008849FC"/>
    <w:rsid w:val="00903415"/>
    <w:rsid w:val="009904A0"/>
    <w:rsid w:val="009B7D66"/>
    <w:rsid w:val="009E05A8"/>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2C78"/>
    <w:rsid w:val="00DE366A"/>
    <w:rsid w:val="00E175DD"/>
    <w:rsid w:val="00E2117E"/>
    <w:rsid w:val="00EB66F7"/>
    <w:rsid w:val="00ED26B0"/>
    <w:rsid w:val="00ED6C30"/>
    <w:rsid w:val="00F0726C"/>
    <w:rsid w:val="00F116FE"/>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style3">
    <w:name w:val="style3"/>
    <w:basedOn w:val="DefaultParagraphFont"/>
    <w:rsid w:val="008849FC"/>
  </w:style>
  <w:style w:type="character" w:styleId="Hyperlink">
    <w:name w:val="Hyperlink"/>
    <w:basedOn w:val="DefaultParagraphFont"/>
    <w:uiPriority w:val="99"/>
    <w:unhideWhenUsed/>
    <w:rsid w:val="008849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pal%20v\VOS\agriculture%20and%20animal%20husbundary\soil\Physical%20properties%20of%20soil.ppt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46DE7-B634-4B6A-A38C-4D56AB40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83</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12</cp:revision>
  <cp:lastPrinted>2013-11-13T11:45:00Z</cp:lastPrinted>
  <dcterms:created xsi:type="dcterms:W3CDTF">2013-11-13T10:38:00Z</dcterms:created>
  <dcterms:modified xsi:type="dcterms:W3CDTF">2014-09-04T07:32:00Z</dcterms:modified>
</cp:coreProperties>
</file>